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sz w:val="28"/>
          <w:szCs w:val="28"/>
          <w:lang w:val="ro-RO"/>
        </w:rPr>
      </w:pPr>
      <w:r>
        <w:rPr>
          <w:b/>
          <w:sz w:val="28"/>
          <w:szCs w:val="28"/>
          <w:lang w:val="ro-RO"/>
        </w:rPr>
        <w:t>GUVERNUL ROMÂNIEI</w:t>
      </w:r>
    </w:p>
    <w:p>
      <w:pPr>
        <w:pStyle w:val="Normal"/>
        <w:jc w:val="center"/>
        <w:rPr>
          <w:b/>
          <w:sz w:val="28"/>
          <w:szCs w:val="28"/>
          <w:lang w:val="ro-RO"/>
        </w:rPr>
      </w:pPr>
      <w:r>
        <w:rPr>
          <w:b/>
          <w:sz w:val="28"/>
          <w:szCs w:val="28"/>
          <w:lang w:val="ro-RO"/>
        </w:rPr>
      </w:r>
    </w:p>
    <w:p>
      <w:pPr>
        <w:pStyle w:val="Normal"/>
        <w:jc w:val="center"/>
        <w:rPr>
          <w:b/>
          <w:sz w:val="28"/>
          <w:szCs w:val="28"/>
          <w:lang w:val="ro-RO"/>
        </w:rPr>
      </w:pPr>
      <w:r>
        <w:rPr>
          <w:b/>
          <w:sz w:val="28"/>
          <w:szCs w:val="28"/>
          <w:lang w:val="ro-RO"/>
        </w:rPr>
        <w:t>ORDONANŢĂ DE URGENŢĂ</w:t>
      </w:r>
    </w:p>
    <w:p>
      <w:pPr>
        <w:pStyle w:val="Normal"/>
        <w:jc w:val="center"/>
        <w:rPr>
          <w:b/>
          <w:sz w:val="28"/>
          <w:szCs w:val="28"/>
          <w:lang w:val="ro-RO"/>
        </w:rPr>
      </w:pPr>
      <w:r>
        <w:rPr>
          <w:b/>
          <w:sz w:val="28"/>
          <w:szCs w:val="28"/>
          <w:lang w:val="ro-RO"/>
        </w:rPr>
      </w:r>
    </w:p>
    <w:p>
      <w:pPr>
        <w:pStyle w:val="Normal"/>
        <w:spacing w:before="0" w:after="120"/>
        <w:jc w:val="center"/>
        <w:rPr>
          <w:rFonts w:cs="Times New Roman"/>
          <w:bCs/>
          <w:sz w:val="28"/>
          <w:szCs w:val="28"/>
        </w:rPr>
      </w:pPr>
      <w:r>
        <w:rPr>
          <w:bCs/>
          <w:sz w:val="28"/>
          <w:szCs w:val="28"/>
          <w:shd w:fill="FFFFFF" w:val="clear"/>
        </w:rPr>
        <w:t xml:space="preserve">pentru suspendarea aplicării unor dispoziţii și prelungirea unui termen prevăzut de </w:t>
      </w:r>
      <w:r>
        <w:rPr>
          <w:rFonts w:cs="Times New Roman CE" w:ascii="Times New Roman CE" w:hAnsi="Times New Roman CE"/>
          <w:bCs/>
          <w:color w:val="000000"/>
          <w:sz w:val="28"/>
          <w:szCs w:val="28"/>
          <w:shd w:fill="FFFFFF" w:val="clear"/>
        </w:rPr>
        <w:t xml:space="preserve">Ordonanţa de urgenţă a Guvernului nr.28/1999 privind obligaţia operatorilor economici de a utiliza aparate de marcat electronice fiscale, </w:t>
      </w:r>
      <w:r>
        <w:rPr>
          <w:rFonts w:cs="Times New Roman"/>
          <w:bCs/>
          <w:sz w:val="28"/>
          <w:szCs w:val="28"/>
        </w:rPr>
        <w:t>precum și pentru completarea Ordonanţei de urgenţă a Guvernului nr. 64/2007 privind datoria publică</w:t>
      </w:r>
    </w:p>
    <w:p>
      <w:pPr>
        <w:pStyle w:val="Normal"/>
        <w:jc w:val="center"/>
        <w:rPr>
          <w:rFonts w:ascii="Cambria" w:hAnsi="Cambria"/>
        </w:rPr>
      </w:pPr>
      <w:r>
        <w:rPr>
          <w:rFonts w:ascii="Cambria" w:hAnsi="Cambria"/>
        </w:rPr>
      </w:r>
    </w:p>
    <w:p>
      <w:pPr>
        <w:pStyle w:val="Normal"/>
        <w:spacing w:lineRule="auto" w:line="360"/>
        <w:jc w:val="center"/>
        <w:rPr>
          <w:rFonts w:eastAsia="Times New Roman"/>
          <w:b/>
          <w:bCs/>
          <w:sz w:val="28"/>
          <w:szCs w:val="28"/>
          <w:shd w:fill="FFFFFF" w:val="clear"/>
          <w:lang w:val="ro-RO"/>
        </w:rPr>
      </w:pPr>
      <w:r>
        <w:rPr>
          <w:rFonts w:eastAsia="Times New Roman"/>
          <w:b/>
          <w:bCs/>
          <w:sz w:val="28"/>
          <w:szCs w:val="28"/>
          <w:shd w:fill="FFFFFF" w:val="clear"/>
          <w:lang w:val="ro-RO"/>
        </w:rPr>
      </w:r>
    </w:p>
    <w:p>
      <w:pPr>
        <w:pStyle w:val="Normal"/>
        <w:jc w:val="both"/>
        <w:rPr>
          <w:rFonts w:cs="Times New Roman CE" w:ascii="Times New Roman CE" w:hAnsi="Times New Roman CE"/>
          <w:bCs/>
          <w:color w:val="000000"/>
          <w:sz w:val="28"/>
          <w:szCs w:val="28"/>
          <w:shd w:fill="FFFFFF" w:val="clear"/>
          <w:lang w:val="ro-RO"/>
        </w:rPr>
      </w:pPr>
      <w:r>
        <w:rPr>
          <w:rFonts w:eastAsia="Times New Roman CE" w:cs="Times New Roman CE" w:ascii="Times New Roman CE" w:hAnsi="Times New Roman CE"/>
          <w:color w:val="000000"/>
          <w:sz w:val="28"/>
          <w:lang w:val="ro-RO"/>
        </w:rPr>
        <w:t xml:space="preserve"> </w:t>
      </w:r>
      <w:r>
        <w:rPr>
          <w:rFonts w:cs="Times New Roman CE" w:ascii="Times New Roman CE" w:hAnsi="Times New Roman CE"/>
          <w:color w:val="000000"/>
          <w:sz w:val="28"/>
          <w:lang w:val="ro-RO"/>
        </w:rPr>
        <w:tab/>
      </w:r>
      <w:r>
        <w:rPr>
          <w:rFonts w:cs="Times New Roman CE" w:ascii="Times New Roman CE" w:hAnsi="Times New Roman CE"/>
          <w:bCs/>
          <w:color w:val="000000"/>
          <w:sz w:val="28"/>
          <w:szCs w:val="28"/>
          <w:shd w:fill="FFFFFF" w:val="clear"/>
          <w:lang w:val="ro-RO"/>
        </w:rPr>
        <w:t xml:space="preserve">Luând în considerare </w:t>
      </w:r>
    </w:p>
    <w:p>
      <w:pPr>
        <w:pStyle w:val="Normal"/>
        <w:numPr>
          <w:ilvl w:val="0"/>
          <w:numId w:val="1"/>
        </w:numPr>
        <w:jc w:val="both"/>
        <w:rPr>
          <w:rFonts w:cs="Times New Roman CE" w:ascii="Times New Roman CE" w:hAnsi="Times New Roman CE"/>
          <w:bCs/>
          <w:color w:val="000000"/>
          <w:sz w:val="28"/>
          <w:szCs w:val="28"/>
          <w:shd w:fill="FFFFFF" w:val="clear"/>
          <w:lang w:val="ro-RO"/>
        </w:rPr>
      </w:pPr>
      <w:r>
        <w:rPr>
          <w:rFonts w:cs="Times New Roman CE" w:ascii="Times New Roman CE" w:hAnsi="Times New Roman CE"/>
          <w:bCs/>
          <w:color w:val="000000"/>
          <w:sz w:val="28"/>
          <w:szCs w:val="28"/>
          <w:shd w:fill="FFFFFF" w:val="clear"/>
          <w:lang w:val="ro-RO"/>
        </w:rPr>
        <w:t xml:space="preserve">întârzierile producătorilor și distribuitorilor în pregătirea prototipurilor de aparate de marcat electronice fiscale cu jurnal electronic și implicit întârzierile în depunerea acestora împreună cu documentația aferentă pentru avizare tehnică la Institutul Național de Cercetare Dezvoltare în Informatică, </w:t>
      </w:r>
    </w:p>
    <w:p>
      <w:pPr>
        <w:pStyle w:val="Normal"/>
        <w:numPr>
          <w:ilvl w:val="0"/>
          <w:numId w:val="1"/>
        </w:numPr>
        <w:jc w:val="both"/>
        <w:rPr>
          <w:rFonts w:cs="Times New Roman CE" w:ascii="Times New Roman CE" w:hAnsi="Times New Roman CE"/>
          <w:bCs/>
          <w:color w:val="000000"/>
          <w:sz w:val="28"/>
          <w:szCs w:val="28"/>
          <w:shd w:fill="FFFFFF" w:val="clear"/>
          <w:lang w:val="ro-RO"/>
        </w:rPr>
      </w:pPr>
      <w:r>
        <w:rPr>
          <w:rFonts w:cs="Times New Roman CE" w:ascii="Times New Roman CE" w:hAnsi="Times New Roman CE"/>
          <w:bCs/>
          <w:color w:val="000000"/>
          <w:sz w:val="28"/>
          <w:szCs w:val="28"/>
          <w:shd w:fill="FFFFFF" w:val="clear"/>
          <w:lang w:val="ro-RO"/>
        </w:rPr>
        <w:t xml:space="preserve">procesele de implementare a noilor aparate de marcat, ulterioare avizării tehnice a prototipurilor, respectiv autorizarea distribuitorilor, producția noilor modele de aparate de marcat, aprovizionarea distribuitorilor, achiziția aparatelor de marcat și fiscalizarea acestora, care sunt consumatoare de timp </w:t>
      </w:r>
      <w:r>
        <w:rPr>
          <w:rFonts w:cs="Times New Roman CE" w:ascii="Cambria" w:hAnsi="Cambria"/>
          <w:bCs/>
          <w:color w:val="000000"/>
          <w:sz w:val="28"/>
          <w:szCs w:val="28"/>
          <w:shd w:fill="FFFFFF" w:val="clear"/>
          <w:lang w:val="ro-RO"/>
        </w:rPr>
        <w:t>și care</w:t>
      </w:r>
      <w:r>
        <w:rPr>
          <w:rFonts w:cs="Times New Roman CE" w:ascii="Times New Roman CE" w:hAnsi="Times New Roman CE"/>
          <w:bCs/>
          <w:color w:val="000000"/>
          <w:sz w:val="28"/>
          <w:szCs w:val="28"/>
          <w:shd w:fill="FFFFFF" w:val="clear"/>
          <w:lang w:val="ro-RO"/>
        </w:rPr>
        <w:t xml:space="preserve"> fac imposibilă punerea pe piață a aparatelor de marcat până la termenele prevăzute de lege pentru dotarea operatorilor economici, </w:t>
      </w:r>
    </w:p>
    <w:p>
      <w:pPr>
        <w:pStyle w:val="Normal"/>
        <w:numPr>
          <w:ilvl w:val="0"/>
          <w:numId w:val="1"/>
        </w:numPr>
        <w:jc w:val="both"/>
        <w:rPr>
          <w:rFonts w:cs="Times New Roman CE" w:ascii="Times New Roman CE" w:hAnsi="Times New Roman CE"/>
          <w:bCs/>
          <w:color w:val="000000"/>
          <w:sz w:val="28"/>
          <w:szCs w:val="28"/>
          <w:shd w:fill="FFFFFF" w:val="clear"/>
          <w:lang w:val="ro-RO"/>
        </w:rPr>
      </w:pPr>
      <w:r>
        <w:rPr>
          <w:rFonts w:cs="Times New Roman CE" w:ascii="Times New Roman CE" w:hAnsi="Times New Roman CE"/>
          <w:bCs/>
          <w:color w:val="000000"/>
          <w:sz w:val="28"/>
          <w:szCs w:val="28"/>
          <w:shd w:fill="FFFFFF" w:val="clear"/>
          <w:lang w:val="ro-RO"/>
        </w:rPr>
        <w:t xml:space="preserve">imposibilitatea operatorilor economici de a se dota cu aparate de marcat noi până la data de 1 iunie , respectiv 1 august, </w:t>
      </w:r>
    </w:p>
    <w:p>
      <w:pPr>
        <w:pStyle w:val="Normal"/>
        <w:numPr>
          <w:ilvl w:val="0"/>
          <w:numId w:val="1"/>
        </w:numPr>
        <w:jc w:val="both"/>
        <w:rPr>
          <w:rFonts w:cs="Times New Roman CE" w:ascii="Times New Roman CE" w:hAnsi="Times New Roman CE"/>
          <w:bCs/>
          <w:color w:val="000000"/>
          <w:sz w:val="28"/>
          <w:szCs w:val="28"/>
          <w:shd w:fill="FFFFFF" w:val="clear"/>
          <w:lang w:val="ro-RO"/>
        </w:rPr>
      </w:pPr>
      <w:r>
        <w:rPr>
          <w:rFonts w:cs="Times New Roman CE" w:ascii="Times New Roman CE" w:hAnsi="Times New Roman CE"/>
          <w:bCs/>
          <w:color w:val="000000"/>
          <w:sz w:val="28"/>
          <w:szCs w:val="28"/>
          <w:shd w:fill="FFFFFF" w:val="clear"/>
          <w:lang w:val="ro-RO"/>
        </w:rPr>
        <w:t xml:space="preserve">pericolul afectării grave a activității economice a operatorilor economici, </w:t>
      </w:r>
    </w:p>
    <w:p>
      <w:pPr>
        <w:pStyle w:val="Normal"/>
        <w:numPr>
          <w:ilvl w:val="0"/>
          <w:numId w:val="1"/>
        </w:numPr>
        <w:jc w:val="both"/>
        <w:rPr>
          <w:rFonts w:cs="Times New Roman CE" w:ascii="Times New Roman CE" w:hAnsi="Times New Roman CE"/>
          <w:bCs/>
          <w:color w:val="000000"/>
          <w:sz w:val="28"/>
          <w:szCs w:val="28"/>
          <w:shd w:fill="FFFFFF" w:val="clear"/>
          <w:lang w:val="ro-RO"/>
        </w:rPr>
      </w:pPr>
      <w:r>
        <w:rPr>
          <w:rFonts w:cs="Times New Roman CE" w:ascii="Times New Roman CE" w:hAnsi="Times New Roman CE"/>
          <w:bCs/>
          <w:color w:val="000000"/>
          <w:sz w:val="28"/>
          <w:szCs w:val="28"/>
          <w:shd w:fill="FFFFFF" w:val="clear"/>
          <w:lang w:val="ro-RO"/>
        </w:rPr>
        <w:t xml:space="preserve">necesitatea evitării sancționării operatorilor economici pentru nerespectarea termenelor de dotare, în condițiile în care fapta nu le este imputabilă, </w:t>
      </w:r>
    </w:p>
    <w:p>
      <w:pPr>
        <w:pStyle w:val="Normal"/>
        <w:numPr>
          <w:ilvl w:val="0"/>
          <w:numId w:val="1"/>
        </w:numPr>
        <w:jc w:val="both"/>
        <w:rPr>
          <w:rFonts w:cs="Times New Roman CE" w:ascii="Times New Roman CE" w:hAnsi="Times New Roman CE"/>
          <w:bCs/>
          <w:color w:val="000000"/>
          <w:sz w:val="28"/>
          <w:szCs w:val="28"/>
          <w:shd w:fill="FFFFFF" w:val="clear"/>
          <w:lang w:val="ro-RO"/>
        </w:rPr>
      </w:pPr>
      <w:r>
        <w:rPr>
          <w:rFonts w:cs="Times New Roman CE" w:ascii="Times New Roman CE" w:hAnsi="Times New Roman CE"/>
          <w:bCs/>
          <w:color w:val="000000"/>
          <w:sz w:val="28"/>
          <w:szCs w:val="28"/>
          <w:shd w:fill="FFFFFF" w:val="clear"/>
          <w:lang w:val="ro-RO"/>
        </w:rPr>
        <w:t>necesitatea evitării sancționării distribuitorilor autorizați pentru comercializarea aparatelor de marcat electronice fiscale cu rolă jurnal după data de 1 august 2018, prin prisma nevoii de a asigura operatorilor economici care deschid noi afaceri sau puncte de lucru, certitudinea achiziționării unui aparat de marcat, în condițiile în care aparatele de marcat noi ar putea să nu fie disponibile pe piață la această dată într-un număr suficient de mare, precum și</w:t>
      </w:r>
    </w:p>
    <w:p>
      <w:pPr>
        <w:pStyle w:val="TextBodyIndent"/>
        <w:numPr>
          <w:ilvl w:val="0"/>
          <w:numId w:val="1"/>
        </w:numPr>
        <w:spacing w:lineRule="auto" w:line="276"/>
        <w:jc w:val="both"/>
        <w:rPr>
          <w:sz w:val="28"/>
          <w:szCs w:val="28"/>
          <w:lang w:val="ro-RO" w:eastAsia="zh-CN"/>
        </w:rPr>
      </w:pPr>
      <w:r>
        <w:rPr>
          <w:sz w:val="28"/>
          <w:szCs w:val="28"/>
          <w:lang w:val="ro-RO" w:eastAsia="zh-CN"/>
        </w:rPr>
        <w:t>prevederile art. 4 alin. (1) din Ordonanța de urgență a Guvernului nr. 64/2007 privind datoria publică, Ministerul Finanțelor Publice este autorizat să contracteze împrumuturi pentru finanţarea deficitului şi refinanţarea datoriei publice guvernamentale,</w:t>
      </w:r>
    </w:p>
    <w:p>
      <w:pPr>
        <w:pStyle w:val="ListParagraph"/>
        <w:numPr>
          <w:ilvl w:val="0"/>
          <w:numId w:val="1"/>
        </w:numPr>
        <w:jc w:val="both"/>
        <w:rPr>
          <w:sz w:val="28"/>
          <w:szCs w:val="28"/>
        </w:rPr>
      </w:pPr>
      <w:r>
        <w:rPr>
          <w:sz w:val="28"/>
          <w:szCs w:val="28"/>
        </w:rPr>
        <w:t>demersurile Ministerului Finanțelor Publice în scopul diversificării instrumentelor de datorie publică, a bazei investiționale a titlurilor de stat emise pe piața locală prin emiterea de titluri de stat pentru populație,</w:t>
      </w:r>
    </w:p>
    <w:p>
      <w:pPr>
        <w:pStyle w:val="ListParagraph"/>
        <w:numPr>
          <w:ilvl w:val="0"/>
          <w:numId w:val="1"/>
        </w:numPr>
        <w:jc w:val="both"/>
        <w:rPr>
          <w:sz w:val="28"/>
          <w:szCs w:val="28"/>
        </w:rPr>
      </w:pPr>
      <w:r>
        <w:rPr>
          <w:sz w:val="28"/>
          <w:szCs w:val="28"/>
        </w:rPr>
        <w:t>necesitatea extinderii canalelor de distribuție a titlurilor de stat pentru populație astfel încât să fie asigurat accesul cat mai larg al populației la aceste instrumente de datorie,</w:t>
      </w:r>
    </w:p>
    <w:p>
      <w:pPr>
        <w:pStyle w:val="ListParagraph"/>
        <w:numPr>
          <w:ilvl w:val="0"/>
          <w:numId w:val="1"/>
        </w:numPr>
        <w:jc w:val="both"/>
        <w:rPr>
          <w:sz w:val="28"/>
          <w:szCs w:val="28"/>
        </w:rPr>
      </w:pPr>
      <w:r>
        <w:rPr>
          <w:sz w:val="28"/>
          <w:szCs w:val="28"/>
        </w:rPr>
        <w:t>urgența implementării planului de asigurare a surselor de finanțare de pe piața internă prin emiterea de titluri de stat pentru populație, în conformitate cu programul indicativ anual de emisiuni de titluri de stat anunțat de Ministerul Finanțelor Publice pentru anul 2018,</w:t>
      </w:r>
    </w:p>
    <w:p>
      <w:pPr>
        <w:pStyle w:val="ListParagraph"/>
        <w:tabs>
          <w:tab w:val="left" w:pos="0" w:leader="none"/>
          <w:tab w:val="left" w:pos="426" w:leader="none"/>
        </w:tabs>
        <w:ind w:left="360" w:right="0" w:hanging="0"/>
        <w:jc w:val="both"/>
        <w:rPr>
          <w:rFonts w:ascii="Arial" w:hAnsi="Arial"/>
          <w:sz w:val="26"/>
          <w:szCs w:val="26"/>
        </w:rPr>
      </w:pPr>
      <w:r>
        <w:rPr>
          <w:rFonts w:ascii="Arial" w:hAnsi="Arial"/>
          <w:sz w:val="26"/>
          <w:szCs w:val="26"/>
        </w:rPr>
      </w:r>
    </w:p>
    <w:p>
      <w:pPr>
        <w:pStyle w:val="Normal"/>
        <w:jc w:val="both"/>
        <w:rPr>
          <w:rFonts w:cs="Times New Roman CE" w:ascii="Times New Roman CE" w:hAnsi="Times New Roman CE"/>
          <w:color w:val="000000"/>
          <w:sz w:val="28"/>
          <w:lang w:val="ro-RO"/>
        </w:rPr>
      </w:pPr>
      <w:r>
        <w:rPr>
          <w:rFonts w:cs="Times New Roman CE" w:ascii="Times New Roman CE" w:hAnsi="Times New Roman CE"/>
          <w:color w:val="000000"/>
          <w:sz w:val="28"/>
          <w:lang w:val="ro-RO"/>
        </w:rPr>
        <w:tab/>
        <w:t>în considerarea faptului că aceste elemente vizează interesul public şi constituie o situaţie de urgenţă şi extraordinară a cărei reglementare nu poate fi amânată, impunând adoptarea de măsuri imediate pe calea ordonanței de urgență,</w:t>
      </w:r>
    </w:p>
    <w:p>
      <w:pPr>
        <w:pStyle w:val="Normal"/>
        <w:suppressAutoHyphens w:val="false"/>
        <w:jc w:val="both"/>
        <w:rPr>
          <w:sz w:val="28"/>
          <w:szCs w:val="28"/>
          <w:lang w:val="ro-RO"/>
        </w:rPr>
      </w:pPr>
      <w:r>
        <w:rPr>
          <w:rFonts w:eastAsia="Times New Roman" w:cs="Times New Roman CE" w:ascii="Times New Roman CE" w:hAnsi="Times New Roman CE"/>
          <w:color w:val="000000"/>
          <w:sz w:val="28"/>
          <w:szCs w:val="28"/>
          <w:lang w:val="ro-RO" w:eastAsia="en-US"/>
        </w:rPr>
        <w:tab/>
      </w:r>
      <w:r>
        <w:rPr>
          <w:sz w:val="28"/>
          <w:szCs w:val="28"/>
          <w:lang w:val="ro-RO"/>
        </w:rPr>
        <w:t>în temeiul art. 115 alin. (4) din Constituţia României, republicată</w:t>
      </w:r>
    </w:p>
    <w:p>
      <w:pPr>
        <w:pStyle w:val="Normal"/>
        <w:rPr>
          <w:sz w:val="28"/>
          <w:szCs w:val="28"/>
          <w:lang w:val="ro-RO"/>
        </w:rPr>
      </w:pPr>
      <w:r>
        <w:rPr>
          <w:sz w:val="28"/>
          <w:szCs w:val="28"/>
          <w:lang w:val="ro-RO"/>
        </w:rPr>
      </w:r>
    </w:p>
    <w:p>
      <w:pPr>
        <w:pStyle w:val="Normal"/>
        <w:rPr>
          <w:sz w:val="28"/>
          <w:szCs w:val="28"/>
          <w:lang w:val="ro-RO"/>
        </w:rPr>
      </w:pPr>
      <w:r>
        <w:rPr>
          <w:sz w:val="28"/>
          <w:szCs w:val="28"/>
          <w:lang w:val="ro-RO"/>
        </w:rPr>
        <w:tab/>
        <w:t>Guvernul României adoptă prezenta ordonanţă de urgenţă.</w:t>
      </w:r>
    </w:p>
    <w:p>
      <w:pPr>
        <w:pStyle w:val="Normal"/>
        <w:ind w:left="0" w:right="0" w:firstLine="720"/>
        <w:jc w:val="both"/>
        <w:rPr>
          <w:b/>
          <w:bCs/>
          <w:sz w:val="28"/>
          <w:szCs w:val="28"/>
          <w:lang w:val="ro-RO"/>
        </w:rPr>
      </w:pPr>
      <w:r>
        <w:rPr>
          <w:b/>
          <w:bCs/>
          <w:sz w:val="28"/>
          <w:szCs w:val="28"/>
          <w:lang w:val="ro-RO"/>
        </w:rPr>
      </w:r>
    </w:p>
    <w:p>
      <w:pPr>
        <w:pStyle w:val="Normal"/>
        <w:ind w:left="0" w:right="0" w:firstLine="720"/>
        <w:jc w:val="both"/>
        <w:rPr>
          <w:b/>
          <w:bCs/>
          <w:sz w:val="28"/>
          <w:szCs w:val="28"/>
          <w:lang w:val="ro-RO"/>
        </w:rPr>
      </w:pPr>
      <w:r>
        <w:rPr>
          <w:b/>
          <w:bCs/>
          <w:sz w:val="28"/>
          <w:szCs w:val="28"/>
          <w:lang w:val="ro-RO"/>
        </w:rPr>
      </w:r>
    </w:p>
    <w:p>
      <w:pPr>
        <w:pStyle w:val="Normal"/>
        <w:ind w:left="0" w:right="0" w:firstLine="720"/>
        <w:jc w:val="both"/>
        <w:rPr>
          <w:rFonts w:cs="Times New Roman CE" w:ascii="Times New Roman CE" w:hAnsi="Times New Roman CE"/>
          <w:color w:val="000000"/>
          <w:sz w:val="28"/>
        </w:rPr>
      </w:pPr>
      <w:r>
        <w:rPr>
          <w:b/>
          <w:bCs/>
          <w:sz w:val="28"/>
          <w:szCs w:val="28"/>
          <w:lang w:val="ro-RO"/>
        </w:rPr>
        <w:t xml:space="preserve">Art. I. </w:t>
      </w:r>
      <w:r>
        <w:rPr>
          <w:rFonts w:cs="Times New Roman CE" w:ascii="Times New Roman CE" w:hAnsi="Times New Roman CE"/>
          <w:color w:val="000000"/>
          <w:sz w:val="28"/>
        </w:rPr>
        <w:t>Sancțiunea prevăzută la art. 11 alin.(1) lit. f) din Ordonanţa de urgenţă a Guvernului nr. 28/1999 privind obligaţia operatorilor economici de a utiliza aparate de marcat electronice fiscale, republicată în Monitorul Oficial al României, Partea I, nr. 75 din 21 ianuarie 2005, cu modificările şi completările ulterioare, se aplică începând cu data de 1 septembrie 2018 pentru operatorii economici care au calitatea de contribuabili mari sau mijlocii, respectiv cu data de 1 noiembrie 2018 pentru operatorii economici care au calitatea de contribuabili mici, pentru săvârșirea, începând cu aceste termene, a faptei prevăzută la art.10 lit.cc) din Ordonanţa de urgenţă a Guvernului nr. 28/1999 republicată, cu modificările şi completările ulterioare.</w:t>
      </w:r>
    </w:p>
    <w:p>
      <w:pPr>
        <w:pStyle w:val="Normal"/>
        <w:jc w:val="both"/>
        <w:textAlignment w:val="auto"/>
        <w:rPr>
          <w:rFonts w:cs="Times New Roman CE" w:ascii="Times New Roman CE" w:hAnsi="Times New Roman CE"/>
          <w:color w:val="000000"/>
          <w:sz w:val="28"/>
        </w:rPr>
      </w:pPr>
      <w:r>
        <w:rPr>
          <w:rFonts w:cs="Times New Roman CE" w:ascii="Times New Roman CE" w:hAnsi="Times New Roman CE"/>
          <w:color w:val="000000"/>
          <w:sz w:val="28"/>
        </w:rPr>
        <w:tab/>
        <w:tab/>
      </w:r>
    </w:p>
    <w:p>
      <w:pPr>
        <w:pStyle w:val="Normal"/>
        <w:jc w:val="both"/>
        <w:textAlignment w:val="auto"/>
        <w:rPr>
          <w:rFonts w:cs="Times New Roman CE" w:ascii="Times New Roman CE" w:hAnsi="Times New Roman CE"/>
          <w:color w:val="000000"/>
          <w:sz w:val="28"/>
        </w:rPr>
      </w:pPr>
      <w:r>
        <w:rPr>
          <w:rFonts w:cs="Times New Roman CE" w:ascii="Times New Roman CE" w:hAnsi="Times New Roman CE"/>
          <w:color w:val="000000"/>
          <w:sz w:val="28"/>
        </w:rPr>
        <w:tab/>
      </w:r>
      <w:r>
        <w:rPr>
          <w:b/>
          <w:bCs/>
          <w:sz w:val="28"/>
          <w:szCs w:val="28"/>
        </w:rPr>
        <w:t>Art. II.</w:t>
      </w:r>
      <w:r>
        <w:rPr>
          <w:rFonts w:cs="Times New Roman CE" w:ascii="Times New Roman CE" w:hAnsi="Times New Roman CE"/>
          <w:color w:val="000000"/>
          <w:sz w:val="28"/>
        </w:rPr>
        <w:t xml:space="preserve"> Sancțiunea prevăzută la art. 11 alin. (1) lit.h) din Ordonanţa de urgenţă a Guvernului nr. 28/1999 republicată, cu modificările şi completările ulterioare, se aplică  începând cu data de 1 noiembrie 2018 distribuitorilor autorizaţi sau unităţilor din reţeaua acestora acreditate pentru comercializarea aparatelor de marcat electronice fiscale definite la art. 3 alin.(1) din Ordonanţa de urgenţă a Guvernului nr. 28/1999 republicată, cu modificările şi completările ulterioare, pentru săvârșirea, începând cu acest termen, a faptei prevăzută la art. 10 lit.  aa) din Ordonanţa de urgenţă a Guvernului nr. 28/1999 republicată, cu modificările şi completările ulterioare.</w:t>
      </w:r>
    </w:p>
    <w:p>
      <w:pPr>
        <w:pStyle w:val="Normal"/>
        <w:ind w:left="0" w:right="0" w:firstLine="720"/>
        <w:jc w:val="both"/>
        <w:rPr>
          <w:rFonts w:eastAsia="SimSun" w:cs="Times New Roman CE" w:ascii="Times New Roman CE" w:hAnsi="Times New Roman CE"/>
          <w:color w:val="000000"/>
          <w:sz w:val="28"/>
          <w:lang w:val="ro-RO" w:eastAsia="zh-CN" w:bidi="hi-IN"/>
        </w:rPr>
      </w:pPr>
      <w:r>
        <w:rPr>
          <w:rFonts w:eastAsia="SimSun" w:cs="Times New Roman CE" w:ascii="Times New Roman CE" w:hAnsi="Times New Roman CE"/>
          <w:color w:val="000000"/>
          <w:sz w:val="28"/>
          <w:lang w:val="ro-RO" w:eastAsia="zh-CN" w:bidi="hi-IN"/>
        </w:rPr>
      </w:r>
    </w:p>
    <w:p>
      <w:pPr>
        <w:pStyle w:val="Normal"/>
        <w:ind w:left="0" w:right="0" w:firstLine="720"/>
        <w:jc w:val="both"/>
        <w:rPr>
          <w:rFonts w:eastAsia="SimSun" w:cs="Times New Roman CE" w:ascii="Times New Roman CE" w:hAnsi="Times New Roman CE"/>
          <w:color w:val="000000"/>
          <w:sz w:val="28"/>
          <w:lang w:val="ro-RO" w:eastAsia="zh-CN" w:bidi="hi-IN"/>
        </w:rPr>
      </w:pPr>
      <w:r>
        <w:rPr>
          <w:rFonts w:eastAsia="SimSun" w:cs="Times New Roman CE" w:ascii="Times New Roman CE" w:hAnsi="Times New Roman CE"/>
          <w:b/>
          <w:color w:val="000000"/>
          <w:sz w:val="28"/>
          <w:lang w:val="ro-RO" w:eastAsia="zh-CN" w:bidi="hi-IN"/>
        </w:rPr>
        <w:t xml:space="preserve"> </w:t>
      </w:r>
      <w:r>
        <w:rPr>
          <w:b/>
          <w:bCs/>
          <w:sz w:val="28"/>
          <w:szCs w:val="28"/>
          <w:lang w:val="ro-RO"/>
        </w:rPr>
        <w:t>Art. III</w:t>
      </w:r>
      <w:r>
        <w:rPr>
          <w:rFonts w:eastAsia="SimSun" w:cs="Times New Roman CE" w:ascii="Times New Roman CE" w:hAnsi="Times New Roman CE"/>
          <w:b/>
          <w:color w:val="000000"/>
          <w:sz w:val="28"/>
          <w:lang w:val="ro-RO" w:eastAsia="zh-CN" w:bidi="hi-IN"/>
        </w:rPr>
        <w:t xml:space="preserve">. </w:t>
      </w:r>
      <w:r>
        <w:rPr>
          <w:rFonts w:eastAsia="SimSun" w:cs="Times New Roman CE" w:ascii="Times New Roman CE" w:hAnsi="Times New Roman CE"/>
          <w:color w:val="000000"/>
          <w:sz w:val="28"/>
          <w:lang w:val="ro-RO" w:eastAsia="zh-CN" w:bidi="hi-IN"/>
        </w:rPr>
        <w:t>Termenul prevăzut la art. 5 alin.(14) din Ordonanţa de urgenţă a Guvernului nr. 28/1999, republicată, cu modificările şi completările ulterioare, se prelungește până la data de 31 octombrie 2018.</w:t>
      </w:r>
    </w:p>
    <w:p>
      <w:pPr>
        <w:pStyle w:val="Normal"/>
        <w:ind w:left="0" w:right="0" w:firstLine="720"/>
        <w:jc w:val="both"/>
        <w:rPr>
          <w:rFonts w:eastAsia="SimSun" w:cs="Times New Roman CE" w:ascii="Times New Roman CE" w:hAnsi="Times New Roman CE"/>
          <w:color w:val="000000"/>
          <w:sz w:val="28"/>
          <w:lang w:val="ro-RO" w:eastAsia="zh-CN" w:bidi="hi-IN"/>
        </w:rPr>
      </w:pPr>
      <w:r>
        <w:rPr>
          <w:rFonts w:eastAsia="SimSun" w:cs="Times New Roman CE" w:ascii="Times New Roman CE" w:hAnsi="Times New Roman CE"/>
          <w:color w:val="000000"/>
          <w:sz w:val="28"/>
          <w:lang w:val="ro-RO" w:eastAsia="zh-CN" w:bidi="hi-IN"/>
        </w:rPr>
      </w:r>
    </w:p>
    <w:p>
      <w:pPr>
        <w:pStyle w:val="Normal"/>
        <w:ind w:left="0" w:right="0" w:firstLine="720"/>
        <w:jc w:val="both"/>
        <w:rPr>
          <w:rFonts w:cs="Times New Roman"/>
          <w:sz w:val="28"/>
          <w:szCs w:val="28"/>
          <w:lang w:val="en-US"/>
        </w:rPr>
      </w:pPr>
      <w:r>
        <w:rPr>
          <w:rFonts w:cs="Times New Roman CE" w:ascii="Times New Roman CE" w:hAnsi="Times New Roman CE"/>
          <w:b/>
          <w:color w:val="000000"/>
          <w:sz w:val="28"/>
        </w:rPr>
        <w:t xml:space="preserve"> </w:t>
      </w:r>
      <w:r>
        <w:rPr>
          <w:rFonts w:cs="Times New Roman"/>
          <w:b/>
          <w:color w:val="000000"/>
          <w:sz w:val="28"/>
          <w:szCs w:val="28"/>
        </w:rPr>
        <w:t xml:space="preserve">Art. IV. </w:t>
      </w:r>
      <w:r>
        <w:rPr>
          <w:rFonts w:cs="Times New Roman"/>
          <w:sz w:val="28"/>
          <w:szCs w:val="28"/>
        </w:rPr>
        <w:t>Ordonanţa de urgenţă a Guvernului nr.64/2007 privind datoria publică, publicată în Monitorul Oficial al României, Partea I, nr.439 din 28 iunie 2007, aprobată cu modificări și completări prin Legea nr. 109/2008, cu modificările și completările ulterioare, se completează după cum urmează</w:t>
      </w:r>
      <w:r>
        <w:rPr>
          <w:rFonts w:cs="Times New Roman"/>
          <w:sz w:val="28"/>
          <w:szCs w:val="28"/>
          <w:lang w:val="en-US"/>
        </w:rPr>
        <w:t>:</w:t>
      </w:r>
    </w:p>
    <w:p>
      <w:pPr>
        <w:pStyle w:val="Normal"/>
        <w:ind w:left="0" w:right="0" w:firstLine="720"/>
        <w:jc w:val="both"/>
        <w:rPr>
          <w:rFonts w:eastAsia="Calibri" w:cs="Times New Roman"/>
          <w:b/>
          <w:bCs/>
          <w:sz w:val="28"/>
          <w:szCs w:val="28"/>
        </w:rPr>
      </w:pPr>
      <w:r>
        <w:rPr>
          <w:rFonts w:eastAsia="Calibri" w:cs="Times New Roman"/>
          <w:b/>
          <w:bCs/>
          <w:sz w:val="28"/>
          <w:szCs w:val="28"/>
        </w:rPr>
      </w:r>
    </w:p>
    <w:p>
      <w:pPr>
        <w:pStyle w:val="Normal"/>
        <w:ind w:left="0" w:right="0" w:firstLine="720"/>
        <w:jc w:val="both"/>
        <w:rPr>
          <w:rFonts w:eastAsia="Calibri" w:cs="Times New Roman"/>
          <w:b/>
          <w:bCs/>
          <w:sz w:val="28"/>
          <w:szCs w:val="28"/>
        </w:rPr>
      </w:pPr>
      <w:r>
        <w:rPr>
          <w:rFonts w:eastAsia="Calibri" w:cs="Times New Roman"/>
          <w:b/>
          <w:bCs/>
          <w:sz w:val="28"/>
          <w:szCs w:val="28"/>
        </w:rPr>
        <w:t>1. După alineatul (2) al  articolului 3 se introduce doua noi alineate, alineatul (2</w:t>
      </w:r>
      <w:r>
        <w:rPr>
          <w:rFonts w:eastAsia="Calibri" w:cs="Times New Roman"/>
          <w:b/>
          <w:bCs/>
          <w:sz w:val="28"/>
          <w:szCs w:val="28"/>
          <w:vertAlign w:val="superscript"/>
        </w:rPr>
        <w:t>1</w:t>
      </w:r>
      <w:r>
        <w:rPr>
          <w:rFonts w:eastAsia="Calibri" w:cs="Times New Roman"/>
          <w:b/>
          <w:bCs/>
          <w:sz w:val="28"/>
          <w:szCs w:val="28"/>
        </w:rPr>
        <w:t>) si (2</w:t>
      </w:r>
      <w:r>
        <w:rPr>
          <w:rFonts w:eastAsia="Calibri" w:cs="Times New Roman"/>
          <w:b/>
          <w:bCs/>
          <w:sz w:val="28"/>
          <w:szCs w:val="28"/>
          <w:vertAlign w:val="superscript"/>
        </w:rPr>
        <w:t>2</w:t>
      </w:r>
      <w:r>
        <w:rPr>
          <w:rFonts w:eastAsia="Calibri" w:cs="Times New Roman"/>
          <w:b/>
          <w:bCs/>
          <w:sz w:val="28"/>
          <w:szCs w:val="28"/>
        </w:rPr>
        <w:t xml:space="preserve">) , cu urmatorul cuprins: </w:t>
      </w:r>
    </w:p>
    <w:p>
      <w:pPr>
        <w:pStyle w:val="DefaultText"/>
        <w:jc w:val="both"/>
        <w:rPr>
          <w:rFonts w:ascii="Times New Roman" w:hAnsi="Times New Roman"/>
          <w:color w:val="00000A"/>
          <w:sz w:val="28"/>
          <w:szCs w:val="28"/>
        </w:rPr>
      </w:pPr>
      <w:r>
        <w:rPr>
          <w:rFonts w:ascii="Times New Roman" w:hAnsi="Times New Roman"/>
          <w:color w:val="00000A"/>
          <w:sz w:val="28"/>
          <w:szCs w:val="28"/>
        </w:rPr>
        <w:t>“</w:t>
      </w:r>
      <w:r>
        <w:rPr>
          <w:rFonts w:ascii="Times New Roman" w:hAnsi="Times New Roman"/>
          <w:color w:val="00000A"/>
          <w:sz w:val="28"/>
          <w:szCs w:val="28"/>
        </w:rPr>
        <w:t>(2</w:t>
      </w:r>
      <w:r>
        <w:rPr>
          <w:rFonts w:ascii="Times New Roman" w:hAnsi="Times New Roman"/>
          <w:color w:val="00000A"/>
          <w:sz w:val="28"/>
          <w:szCs w:val="28"/>
          <w:vertAlign w:val="superscript"/>
        </w:rPr>
        <w:t>1</w:t>
      </w:r>
      <w:r>
        <w:rPr>
          <w:rFonts w:ascii="Times New Roman" w:hAnsi="Times New Roman"/>
          <w:color w:val="00000A"/>
          <w:sz w:val="28"/>
          <w:szCs w:val="28"/>
        </w:rPr>
        <w:t xml:space="preserve">) Pentru emisiunile de titluri de stat destinate populaţiei se autorizeaza Compania Națională Poșta Română S.A să intermedieze vânzarea, colectarea subscrierilor si efectuarea plăților aferente acestor instrumente de datorie publică. Mecanismul privind vânzarea titlurilor de stat și de plată a dobânzilor și a valorii nominale a emisiunii la scadență se stabilește prin norme aprobate prin Ordin comun al ministrului finanțelor publice și al ministrului comunicațiilor și societății informaționale. Sumele rezultate din vânzarea titlurilor de stat se virează în contul Ministerului Finanțelor Publice în termen de cel mult de 2 zile lucrătoare de la data încasării sumelor aferente subscrierii. Eventuale sume virate eronat, peste nivelul sumelor datorate, se restituie la solicitarea Companiei Naționale Poșta Română S.A. adresată Ministerului Finanțelor Publice. Răspunderea pentru sumele solicitate pentru restituire revine exclusiv  Companiei Naționale Poșta Română S.A.. </w:t>
      </w:r>
    </w:p>
    <w:p>
      <w:pPr>
        <w:pStyle w:val="DefaultText"/>
        <w:jc w:val="both"/>
        <w:rPr>
          <w:rFonts w:ascii="Times New Roman" w:hAnsi="Times New Roman"/>
          <w:color w:val="00000A"/>
          <w:sz w:val="28"/>
          <w:szCs w:val="28"/>
        </w:rPr>
      </w:pPr>
      <w:r>
        <w:rPr>
          <w:rFonts w:ascii="Times New Roman" w:hAnsi="Times New Roman"/>
          <w:color w:val="00000A"/>
          <w:sz w:val="28"/>
          <w:szCs w:val="28"/>
        </w:rPr>
        <w:t>Suma maximă care poate fi subscrisă de către o persoană fizică prin acest instrument de datorie la un moment nu poate depăși suma maximă comunicată de Ministerul Finanțelor Publice prin prospectul de emisiune.</w:t>
      </w:r>
    </w:p>
    <w:p>
      <w:pPr>
        <w:pStyle w:val="Normal"/>
        <w:suppressAutoHyphens w:val="false"/>
        <w:jc w:val="both"/>
        <w:rPr>
          <w:rFonts w:cs="Times New Roman"/>
          <w:sz w:val="28"/>
          <w:szCs w:val="28"/>
        </w:rPr>
      </w:pPr>
      <w:r>
        <w:rPr>
          <w:rFonts w:cs="Times New Roman"/>
          <w:sz w:val="28"/>
          <w:szCs w:val="28"/>
        </w:rPr>
        <w:t>(2</w:t>
      </w:r>
      <w:r>
        <w:rPr>
          <w:rFonts w:cs="Times New Roman"/>
          <w:sz w:val="28"/>
          <w:szCs w:val="28"/>
          <w:vertAlign w:val="superscript"/>
        </w:rPr>
        <w:t>2</w:t>
      </w:r>
      <w:r>
        <w:rPr>
          <w:rFonts w:cs="Times New Roman"/>
          <w:sz w:val="28"/>
          <w:szCs w:val="28"/>
        </w:rPr>
        <w:t>) Titlurile de stat destinate populaţiei pot fi vândute și prin rețeaua băncilor, așa cum sunt definite în conformitate cu prevederile Ordonanţei de urgenţă a Guvernului nr. 99/2006 privind instituţiile de credit şi adecvarea capitalului, aprobată cu modificări şi completări prin Legea nr. 227/2007, cu modificările şi completările ulterioare, care au capacitate, experiență și interes în intermedierea tranzacțiilor cu aceste instrumente de datorie. Procedura de vânzare a acestor titluri prin rețeaua băncilor se va stabili prin norme metodologice elaborate conform prevederilor de la alineatul (2).”</w:t>
      </w:r>
    </w:p>
    <w:p>
      <w:pPr>
        <w:pStyle w:val="DefaultText"/>
        <w:jc w:val="both"/>
        <w:rPr>
          <w:rFonts w:ascii="Times New Roman" w:hAnsi="Times New Roman"/>
          <w:color w:val="00000A"/>
          <w:sz w:val="28"/>
          <w:szCs w:val="28"/>
        </w:rPr>
      </w:pPr>
      <w:r>
        <w:rPr>
          <w:rFonts w:ascii="Times New Roman" w:hAnsi="Times New Roman"/>
          <w:color w:val="00000A"/>
          <w:sz w:val="28"/>
          <w:szCs w:val="28"/>
        </w:rPr>
      </w:r>
    </w:p>
    <w:p>
      <w:pPr>
        <w:pStyle w:val="Normal"/>
        <w:ind w:left="0" w:right="0" w:firstLine="720"/>
        <w:jc w:val="both"/>
        <w:rPr>
          <w:rFonts w:eastAsia="Calibri" w:cs="Times New Roman"/>
          <w:b/>
          <w:bCs/>
          <w:sz w:val="28"/>
          <w:szCs w:val="28"/>
        </w:rPr>
      </w:pPr>
      <w:r>
        <w:rPr>
          <w:rFonts w:eastAsia="Calibri" w:cs="Times New Roman"/>
          <w:b/>
          <w:bCs/>
          <w:sz w:val="28"/>
          <w:szCs w:val="28"/>
        </w:rPr>
        <w:t>2. După alineatul (4) al  articolului 4 se introduce un nou alineat, alineatul (4</w:t>
      </w:r>
      <w:r>
        <w:rPr>
          <w:rFonts w:eastAsia="Calibri" w:cs="Times New Roman"/>
          <w:b/>
          <w:bCs/>
          <w:sz w:val="28"/>
          <w:szCs w:val="28"/>
          <w:vertAlign w:val="superscript"/>
        </w:rPr>
        <w:t>1</w:t>
      </w:r>
      <w:r>
        <w:rPr>
          <w:rFonts w:eastAsia="Calibri" w:cs="Times New Roman"/>
          <w:b/>
          <w:bCs/>
          <w:sz w:val="28"/>
          <w:szCs w:val="28"/>
        </w:rPr>
        <w:t>), cu urmatorul cuprins:</w:t>
      </w:r>
    </w:p>
    <w:p>
      <w:pPr>
        <w:pStyle w:val="DefaultText"/>
        <w:jc w:val="both"/>
        <w:rPr>
          <w:rFonts w:ascii="Times New Roman" w:hAnsi="Times New Roman"/>
          <w:color w:val="00000A"/>
          <w:sz w:val="28"/>
          <w:szCs w:val="28"/>
        </w:rPr>
      </w:pPr>
      <w:r>
        <w:rPr>
          <w:rFonts w:ascii="Times New Roman" w:hAnsi="Times New Roman"/>
          <w:color w:val="00000A"/>
          <w:sz w:val="28"/>
          <w:szCs w:val="28"/>
        </w:rPr>
        <w:t>“</w:t>
      </w:r>
      <w:r>
        <w:rPr>
          <w:rFonts w:ascii="Times New Roman" w:hAnsi="Times New Roman"/>
          <w:color w:val="00000A"/>
          <w:sz w:val="28"/>
          <w:szCs w:val="28"/>
        </w:rPr>
        <w:t>(4</w:t>
      </w:r>
      <w:r>
        <w:rPr>
          <w:rFonts w:ascii="Times New Roman" w:hAnsi="Times New Roman"/>
          <w:color w:val="00000A"/>
          <w:sz w:val="28"/>
          <w:szCs w:val="28"/>
          <w:vertAlign w:val="superscript"/>
        </w:rPr>
        <w:t>1</w:t>
      </w:r>
      <w:r>
        <w:rPr>
          <w:rFonts w:ascii="Times New Roman" w:hAnsi="Times New Roman"/>
          <w:color w:val="00000A"/>
          <w:sz w:val="28"/>
          <w:szCs w:val="28"/>
        </w:rPr>
        <w:t>) Oportunitatea privind alegerea instrumentelor de datorie publică guvernamentală și a caracteristicilor acestora, precum și momentul atragerii resurselor financiare necesare finanțării deficitului bugetar și refinanțării datoriei publice revine Ministerului Finanțelor Publice, în calitate de unic administrator al datoriei publice guvernamentale, în conformitate cu alineatul (1).”</w:t>
      </w:r>
    </w:p>
    <w:p>
      <w:pPr>
        <w:pStyle w:val="DefaultText"/>
        <w:jc w:val="both"/>
        <w:rPr>
          <w:rFonts w:ascii="Times New Roman" w:hAnsi="Times New Roman"/>
          <w:color w:val="00000A"/>
          <w:sz w:val="28"/>
          <w:szCs w:val="28"/>
        </w:rPr>
      </w:pPr>
      <w:r>
        <w:rPr>
          <w:rFonts w:ascii="Times New Roman" w:hAnsi="Times New Roman"/>
          <w:color w:val="00000A"/>
          <w:sz w:val="28"/>
          <w:szCs w:val="28"/>
        </w:rPr>
      </w:r>
    </w:p>
    <w:p>
      <w:pPr>
        <w:pStyle w:val="Normal"/>
        <w:ind w:left="0" w:right="0" w:firstLine="720"/>
        <w:jc w:val="both"/>
        <w:rPr>
          <w:rFonts w:eastAsia="Calibri" w:cs="Times New Roman"/>
          <w:b/>
          <w:bCs/>
          <w:sz w:val="28"/>
          <w:szCs w:val="28"/>
        </w:rPr>
      </w:pPr>
      <w:r>
        <w:rPr>
          <w:rFonts w:eastAsia="Calibri" w:cs="Times New Roman"/>
          <w:b/>
          <w:bCs/>
          <w:sz w:val="28"/>
          <w:szCs w:val="28"/>
        </w:rPr>
        <w:t>3. Dupa alineatul (5) al articolului 5 se introduc patru noi alineate, alineatele (5</w:t>
      </w:r>
      <w:r>
        <w:rPr>
          <w:rFonts w:eastAsia="Calibri" w:cs="Times New Roman"/>
          <w:b/>
          <w:bCs/>
          <w:sz w:val="28"/>
          <w:szCs w:val="28"/>
          <w:vertAlign w:val="superscript"/>
        </w:rPr>
        <w:t>1</w:t>
      </w:r>
      <w:r>
        <w:rPr>
          <w:rFonts w:eastAsia="Calibri" w:cs="Times New Roman"/>
          <w:b/>
          <w:bCs/>
          <w:sz w:val="28"/>
          <w:szCs w:val="28"/>
        </w:rPr>
        <w:t>) - (5</w:t>
      </w:r>
      <w:r>
        <w:rPr>
          <w:rFonts w:eastAsia="Calibri" w:cs="Times New Roman"/>
          <w:b/>
          <w:bCs/>
          <w:sz w:val="28"/>
          <w:szCs w:val="28"/>
          <w:vertAlign w:val="superscript"/>
        </w:rPr>
        <w:t>4</w:t>
      </w:r>
      <w:r>
        <w:rPr>
          <w:rFonts w:eastAsia="Calibri" w:cs="Times New Roman"/>
          <w:b/>
          <w:bCs/>
          <w:sz w:val="28"/>
          <w:szCs w:val="28"/>
        </w:rPr>
        <w:t>), cu următorul cuprins:</w:t>
      </w:r>
    </w:p>
    <w:p>
      <w:pPr>
        <w:pStyle w:val="DefaultText"/>
        <w:jc w:val="both"/>
        <w:rPr>
          <w:rFonts w:ascii="Times New Roman" w:hAnsi="Times New Roman"/>
          <w:color w:val="00000A"/>
          <w:sz w:val="28"/>
          <w:szCs w:val="28"/>
        </w:rPr>
      </w:pPr>
      <w:r>
        <w:rPr>
          <w:rFonts w:ascii="Times New Roman" w:hAnsi="Times New Roman"/>
          <w:color w:val="00000A"/>
          <w:sz w:val="28"/>
          <w:szCs w:val="28"/>
        </w:rPr>
        <w:t>„</w:t>
      </w:r>
      <w:r>
        <w:rPr>
          <w:rFonts w:ascii="Times New Roman" w:hAnsi="Times New Roman"/>
          <w:color w:val="00000A"/>
          <w:sz w:val="28"/>
          <w:szCs w:val="28"/>
        </w:rPr>
        <w:t>(5</w:t>
      </w:r>
      <w:r>
        <w:rPr>
          <w:rFonts w:ascii="Times New Roman" w:hAnsi="Times New Roman"/>
          <w:color w:val="00000A"/>
          <w:sz w:val="28"/>
          <w:szCs w:val="28"/>
          <w:vertAlign w:val="superscript"/>
        </w:rPr>
        <w:t>1</w:t>
      </w:r>
      <w:r>
        <w:rPr>
          <w:rFonts w:ascii="Times New Roman" w:hAnsi="Times New Roman"/>
          <w:color w:val="00000A"/>
          <w:sz w:val="28"/>
          <w:szCs w:val="28"/>
        </w:rPr>
        <w:t>) Obligațiile statului reprezentând datorie publică guvernamentală aferentă emisiunilor de stat pentru populație se consideră rambursate la momentul transferului sumelor aferente plăților de dobândă și a valorii nominale în conturi distincte deschise la dispoziția Companiei Naționale Poșta Română S.A. deschise la Trezoreria Statului.</w:t>
      </w:r>
    </w:p>
    <w:p>
      <w:pPr>
        <w:pStyle w:val="DefaultText"/>
        <w:jc w:val="both"/>
        <w:rPr>
          <w:rFonts w:ascii="Times New Roman" w:hAnsi="Times New Roman"/>
          <w:color w:val="00000A"/>
          <w:sz w:val="28"/>
          <w:szCs w:val="28"/>
        </w:rPr>
      </w:pPr>
      <w:r>
        <w:rPr>
          <w:rFonts w:ascii="Times New Roman" w:hAnsi="Times New Roman"/>
          <w:color w:val="00000A"/>
          <w:sz w:val="28"/>
          <w:szCs w:val="28"/>
        </w:rPr>
        <w:t>(5</w:t>
      </w:r>
      <w:r>
        <w:rPr>
          <w:rFonts w:ascii="Times New Roman" w:hAnsi="Times New Roman"/>
          <w:color w:val="00000A"/>
          <w:sz w:val="28"/>
          <w:szCs w:val="28"/>
          <w:vertAlign w:val="superscript"/>
        </w:rPr>
        <w:t>2</w:t>
      </w:r>
      <w:r>
        <w:rPr>
          <w:rFonts w:ascii="Times New Roman" w:hAnsi="Times New Roman"/>
          <w:color w:val="00000A"/>
          <w:sz w:val="28"/>
          <w:szCs w:val="28"/>
        </w:rPr>
        <w:t>) Plata dobânzilor și a valorii nominale la scadență se efectuează de Ministerul Finanțelor Publice în conturile prevăzute la alin. (5</w:t>
      </w:r>
      <w:r>
        <w:rPr>
          <w:rFonts w:ascii="Times New Roman" w:hAnsi="Times New Roman"/>
          <w:color w:val="00000A"/>
          <w:sz w:val="28"/>
          <w:szCs w:val="28"/>
          <w:vertAlign w:val="superscript"/>
        </w:rPr>
        <w:t>1</w:t>
      </w:r>
      <w:r>
        <w:rPr>
          <w:rFonts w:ascii="Times New Roman" w:hAnsi="Times New Roman"/>
          <w:color w:val="00000A"/>
          <w:sz w:val="28"/>
          <w:szCs w:val="28"/>
        </w:rPr>
        <w:t>) din care Compania Națională Poșta Română S.A. poate să-și transfere sume în contul propriu deschis la bănci sau să ridice sume în numerar fără perceperea de comisioane. În situația utilizării fondurilor proprii de către Compania Națională Poșta Română S.A.pentru plata dobânzii și a valorii nominale către deținătorii de titluri de stat, restituirea acestor sume prin virament sau în numerar, în limita plăților astfel efectuate, se efectuează din conturile prevăzute la alineatul (5</w:t>
      </w:r>
      <w:r>
        <w:rPr>
          <w:rFonts w:ascii="Times New Roman" w:hAnsi="Times New Roman"/>
          <w:color w:val="00000A"/>
          <w:sz w:val="28"/>
          <w:szCs w:val="28"/>
          <w:vertAlign w:val="superscript"/>
        </w:rPr>
        <w:t>1</w:t>
      </w:r>
      <w:r>
        <w:rPr>
          <w:rFonts w:ascii="Times New Roman" w:hAnsi="Times New Roman"/>
          <w:color w:val="00000A"/>
          <w:sz w:val="28"/>
          <w:szCs w:val="28"/>
        </w:rPr>
        <w:t xml:space="preserve">). </w:t>
      </w:r>
    </w:p>
    <w:p>
      <w:pPr>
        <w:pStyle w:val="DefaultText"/>
        <w:jc w:val="both"/>
        <w:rPr>
          <w:rFonts w:ascii="Times New Roman" w:hAnsi="Times New Roman"/>
          <w:color w:val="00000A"/>
          <w:sz w:val="28"/>
          <w:szCs w:val="28"/>
        </w:rPr>
      </w:pPr>
      <w:r>
        <w:rPr>
          <w:rFonts w:ascii="Times New Roman" w:hAnsi="Times New Roman"/>
          <w:color w:val="00000A"/>
          <w:sz w:val="28"/>
          <w:szCs w:val="28"/>
        </w:rPr>
        <w:t>(5</w:t>
      </w:r>
      <w:r>
        <w:rPr>
          <w:rFonts w:ascii="Times New Roman" w:hAnsi="Times New Roman"/>
          <w:color w:val="00000A"/>
          <w:sz w:val="28"/>
          <w:szCs w:val="28"/>
          <w:vertAlign w:val="superscript"/>
        </w:rPr>
        <w:t>3</w:t>
      </w:r>
      <w:r>
        <w:rPr>
          <w:rFonts w:ascii="Times New Roman" w:hAnsi="Times New Roman"/>
          <w:color w:val="00000A"/>
          <w:sz w:val="28"/>
          <w:szCs w:val="28"/>
        </w:rPr>
        <w:t xml:space="preserve">) Sumele ridicate în  numerar peste nivelul plăților efectuate în numerar către deținătorii de titluri de stat se depun la Trezoreria Statului în prima zi lucrătoare de la  ridicarea acestora.   </w:t>
      </w:r>
    </w:p>
    <w:p>
      <w:pPr>
        <w:pStyle w:val="DefaultText"/>
        <w:jc w:val="both"/>
        <w:rPr>
          <w:rFonts w:ascii="Times New Roman" w:hAnsi="Times New Roman"/>
          <w:color w:val="00000A"/>
          <w:sz w:val="28"/>
          <w:szCs w:val="28"/>
        </w:rPr>
      </w:pPr>
      <w:r>
        <w:rPr>
          <w:rFonts w:ascii="Times New Roman" w:hAnsi="Times New Roman"/>
          <w:color w:val="00000A"/>
          <w:sz w:val="28"/>
          <w:szCs w:val="28"/>
        </w:rPr>
        <w:t>(5</w:t>
      </w:r>
      <w:r>
        <w:rPr>
          <w:rFonts w:ascii="Times New Roman" w:hAnsi="Times New Roman"/>
          <w:color w:val="00000A"/>
          <w:sz w:val="28"/>
          <w:szCs w:val="28"/>
          <w:vertAlign w:val="superscript"/>
        </w:rPr>
        <w:t>4</w:t>
      </w:r>
      <w:r>
        <w:rPr>
          <w:rFonts w:ascii="Times New Roman" w:hAnsi="Times New Roman"/>
          <w:color w:val="00000A"/>
          <w:sz w:val="28"/>
          <w:szCs w:val="28"/>
        </w:rPr>
        <w:t>) Pentru activitatile derulate de Compania Națională Poșta Română S.A. în conformitate cu alineatul (2</w:t>
      </w:r>
      <w:r>
        <w:rPr>
          <w:rFonts w:ascii="Times New Roman" w:hAnsi="Times New Roman"/>
          <w:color w:val="00000A"/>
          <w:sz w:val="28"/>
          <w:szCs w:val="28"/>
          <w:vertAlign w:val="superscript"/>
        </w:rPr>
        <w:t>1</w:t>
      </w:r>
      <w:r>
        <w:rPr>
          <w:rFonts w:ascii="Times New Roman" w:hAnsi="Times New Roman"/>
          <w:color w:val="00000A"/>
          <w:sz w:val="28"/>
          <w:szCs w:val="28"/>
        </w:rPr>
        <w:t>) al Art.3, Ministerul Finanțelor Publice este autorizat să plăteasca comisioane din bugetul de stat, al căror cuantum este de 0,1% pentru efectuarea operațiunilor legate de activitatea de vânzare a titlurilor de stat pentru populație aplicat la valoarea de închidere a emisiunii și de 0,1% pentru efectuarea plăților aferente acestor instrumente de datorie publică, aplicat la valoarea operațiunilor efectuate către deținătorii de titluri de stat. Comisionul se calculează lunar și se plătește în termen de 30 de zile de la data primirii facturii.”</w:t>
      </w:r>
    </w:p>
    <w:p>
      <w:pPr>
        <w:pStyle w:val="DefaultText"/>
        <w:jc w:val="both"/>
        <w:rPr>
          <w:rFonts w:ascii="Times New Roman" w:hAnsi="Times New Roman"/>
          <w:color w:val="00000A"/>
          <w:sz w:val="28"/>
          <w:szCs w:val="28"/>
        </w:rPr>
      </w:pPr>
      <w:r>
        <w:rPr>
          <w:rFonts w:ascii="Times New Roman" w:hAnsi="Times New Roman"/>
          <w:color w:val="00000A"/>
          <w:sz w:val="28"/>
          <w:szCs w:val="28"/>
        </w:rPr>
      </w:r>
    </w:p>
    <w:p>
      <w:pPr>
        <w:pStyle w:val="DefaultText"/>
        <w:suppressAutoHyphens w:val="false"/>
        <w:overflowPunct w:val="true"/>
        <w:ind w:left="0" w:right="0" w:firstLine="720"/>
        <w:jc w:val="both"/>
        <w:textAlignment w:val="baseline"/>
        <w:rPr>
          <w:rFonts w:eastAsia="Calibri" w:ascii="Times New Roman" w:hAnsi="Times New Roman"/>
          <w:b/>
          <w:bCs/>
          <w:color w:val="00000A"/>
          <w:sz w:val="28"/>
          <w:szCs w:val="28"/>
        </w:rPr>
      </w:pPr>
      <w:r>
        <w:rPr>
          <w:rFonts w:ascii="Times New Roman" w:hAnsi="Times New Roman"/>
          <w:b/>
          <w:color w:val="00000A"/>
          <w:sz w:val="28"/>
          <w:szCs w:val="28"/>
        </w:rPr>
        <w:t xml:space="preserve">4. </w:t>
      </w:r>
      <w:r>
        <w:rPr>
          <w:rFonts w:eastAsia="Calibri" w:ascii="Times New Roman" w:hAnsi="Times New Roman"/>
          <w:b/>
          <w:bCs/>
          <w:color w:val="00000A"/>
          <w:sz w:val="28"/>
          <w:szCs w:val="28"/>
        </w:rPr>
        <w:t>Dupa art. 8 se introduce un nou articol, art. 8^1 cu următorul cuprins:</w:t>
      </w:r>
    </w:p>
    <w:p>
      <w:pPr>
        <w:pStyle w:val="Normal"/>
        <w:jc w:val="both"/>
        <w:rPr>
          <w:rFonts w:cs="Times New Roman"/>
          <w:sz w:val="28"/>
          <w:szCs w:val="28"/>
        </w:rPr>
      </w:pPr>
      <w:r>
        <w:rPr>
          <w:rFonts w:cs="Times New Roman"/>
          <w:sz w:val="28"/>
          <w:szCs w:val="28"/>
        </w:rPr>
        <w:t>„</w:t>
      </w:r>
      <w:r>
        <w:rPr>
          <w:rFonts w:cs="Times New Roman"/>
          <w:sz w:val="28"/>
          <w:szCs w:val="28"/>
        </w:rPr>
        <w:t>Sumele aferente operațiunilor de vânzare și de plată a titlurilor de stat sunt sume cu destinație specială şi nu sunt supuse executării silite prin poprire, în sensul art. 781 alin. (5) lit. a) din Legea nr. 134/2010 privind Codul de procedură civilă, republicată, cu modificările ulterioare”.</w:t>
      </w:r>
    </w:p>
    <w:p>
      <w:pPr>
        <w:pStyle w:val="Normal"/>
        <w:ind w:left="0" w:right="0" w:firstLine="720"/>
        <w:jc w:val="both"/>
        <w:rPr>
          <w:rFonts w:cs="Times New Roman"/>
          <w:sz w:val="28"/>
          <w:szCs w:val="28"/>
        </w:rPr>
      </w:pPr>
      <w:r>
        <w:rPr>
          <w:rFonts w:cs="Times New Roman"/>
          <w:sz w:val="28"/>
          <w:szCs w:val="28"/>
        </w:rPr>
      </w:r>
    </w:p>
    <w:p>
      <w:pPr>
        <w:pStyle w:val="Normal"/>
        <w:ind w:left="0" w:right="0" w:firstLine="720"/>
        <w:jc w:val="both"/>
        <w:rPr>
          <w:rFonts w:cs="Times New Roman"/>
          <w:sz w:val="28"/>
          <w:szCs w:val="28"/>
        </w:rPr>
      </w:pPr>
      <w:r>
        <w:rPr>
          <w:rFonts w:cs="Times New Roman"/>
          <w:sz w:val="28"/>
          <w:szCs w:val="28"/>
        </w:rPr>
      </w:r>
    </w:p>
    <w:p>
      <w:pPr>
        <w:pStyle w:val="Normal"/>
        <w:ind w:left="0" w:right="-54" w:firstLine="709"/>
        <w:jc w:val="both"/>
        <w:rPr>
          <w:sz w:val="28"/>
          <w:szCs w:val="28"/>
        </w:rPr>
      </w:pPr>
      <w:r>
        <w:rPr>
          <w:sz w:val="28"/>
          <w:szCs w:val="28"/>
        </w:rPr>
      </w:r>
    </w:p>
    <w:p>
      <w:pPr>
        <w:pStyle w:val="Normal"/>
        <w:ind w:left="0" w:right="-54" w:firstLine="709"/>
        <w:jc w:val="center"/>
        <w:rPr>
          <w:rFonts w:cs="Times New Roman CE" w:ascii="Times New Roman CE" w:hAnsi="Times New Roman CE"/>
          <w:sz w:val="28"/>
          <w:szCs w:val="28"/>
          <w:lang w:val="ro-RO"/>
        </w:rPr>
      </w:pPr>
      <w:r>
        <w:rPr>
          <w:rFonts w:eastAsia="Times New Roman CE" w:cs="Times New Roman CE" w:ascii="Times New Roman CE" w:hAnsi="Times New Roman CE"/>
          <w:sz w:val="28"/>
          <w:szCs w:val="28"/>
          <w:lang w:val="ro-RO"/>
        </w:rPr>
        <w:t xml:space="preserve">  </w:t>
      </w:r>
      <w:r>
        <w:rPr>
          <w:rFonts w:cs="Times New Roman CE" w:ascii="Times New Roman CE" w:hAnsi="Times New Roman CE"/>
          <w:sz w:val="28"/>
          <w:szCs w:val="28"/>
          <w:lang w:val="ro-RO"/>
        </w:rPr>
        <w:t>PRIM-MINISTRU</w:t>
      </w:r>
    </w:p>
    <w:p>
      <w:pPr>
        <w:pStyle w:val="Normal"/>
        <w:jc w:val="center"/>
        <w:rPr>
          <w:rFonts w:cs="Times New Roman CE" w:ascii="Times New Roman CE" w:hAnsi="Times New Roman CE"/>
          <w:sz w:val="28"/>
          <w:szCs w:val="28"/>
          <w:lang w:val="ro-RO"/>
        </w:rPr>
      </w:pPr>
      <w:bookmarkStart w:id="0" w:name="_GoBack"/>
      <w:bookmarkEnd w:id="0"/>
      <w:r>
        <w:rPr>
          <w:rFonts w:eastAsia="Times New Roman CE" w:cs="Times New Roman CE" w:ascii="Times New Roman CE" w:hAnsi="Times New Roman CE"/>
          <w:sz w:val="28"/>
          <w:lang w:val="ro-RO"/>
        </w:rPr>
        <w:t xml:space="preserve">           </w:t>
      </w:r>
      <w:r>
        <w:rPr>
          <w:rFonts w:cs="Times New Roman CE" w:ascii="Times New Roman CE" w:hAnsi="Times New Roman CE"/>
          <w:sz w:val="28"/>
          <w:lang w:val="ro-RO"/>
        </w:rPr>
        <w:t>VASILICA</w:t>
      </w:r>
      <w:r>
        <w:rPr>
          <w:rFonts w:cs="Times New Roman CE" w:ascii="Times New Roman CE" w:hAnsi="Times New Roman CE"/>
          <w:sz w:val="28"/>
          <w:szCs w:val="28"/>
          <w:lang w:val="ro-RO"/>
        </w:rPr>
        <w:t xml:space="preserve"> -</w:t>
      </w:r>
      <w:r>
        <w:rPr>
          <w:rFonts w:cs="Times New Roman CE" w:ascii="Times New Roman CE" w:hAnsi="Times New Roman CE"/>
          <w:sz w:val="28"/>
          <w:lang w:val="ro-RO"/>
        </w:rPr>
        <w:t>VIORICA</w:t>
      </w:r>
      <w:r>
        <w:rPr>
          <w:rFonts w:cs="Times New Roman CE" w:ascii="Times New Roman CE" w:hAnsi="Times New Roman CE"/>
          <w:sz w:val="28"/>
          <w:szCs w:val="28"/>
          <w:lang w:val="ro-RO"/>
        </w:rPr>
        <w:t xml:space="preserve"> DĂNCILĂ</w:t>
      </w:r>
    </w:p>
    <w:p>
      <w:pPr>
        <w:pStyle w:val="Normal"/>
        <w:ind w:left="0" w:right="-54" w:firstLine="709"/>
        <w:jc w:val="both"/>
        <w:rPr/>
      </w:pPr>
      <w:r>
        <w:rPr/>
      </w:r>
    </w:p>
    <w:sectPr>
      <w:footerReference w:type="default" r:id="rId2"/>
      <w:type w:val="nextPage"/>
      <w:pgSz w:w="12240" w:h="15840"/>
      <w:pgMar w:left="1440" w:right="758" w:header="0" w:top="1440" w:footer="708" w:bottom="144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OpenSymbol">
    <w:altName w:val="Arial Unicode MS"/>
    <w:charset w:val="ee"/>
    <w:family w:val="roman"/>
    <w:pitch w:val="variable"/>
  </w:font>
  <w:font w:name="OpenSymbol">
    <w:altName w:val="Arial Unicode MS"/>
    <w:charset w:val="02"/>
    <w:family w:val="auto"/>
    <w:pitch w:val="default"/>
  </w:font>
  <w:font w:name="Tahoma">
    <w:charset w:val="ee"/>
    <w:family w:val="roman"/>
    <w:pitch w:val="variable"/>
  </w:font>
  <w:font w:name="Liberation Sans">
    <w:altName w:val="Arial"/>
    <w:charset w:val="ee"/>
    <w:family w:val="swiss"/>
    <w:pitch w:val="variable"/>
  </w:font>
  <w:font w:name="Liberation Sans">
    <w:altName w:val="Arial"/>
    <w:charset w:val="ee"/>
    <w:family w:val="roman"/>
    <w:pitch w:val="variable"/>
  </w:font>
  <w:font w:name="Calibri">
    <w:charset w:val="ee"/>
    <w:family w:val="roman"/>
    <w:pitch w:val="variable"/>
  </w:font>
  <w:font w:name="Times New Roman CE">
    <w:charset w:val="ee"/>
    <w:family w:val="roman"/>
    <w:pitch w:val="variable"/>
  </w:font>
  <w:font w:name="Cambria">
    <w:charset w:val="ee"/>
    <w:family w:val="roman"/>
    <w:pitch w:val="variable"/>
  </w:font>
  <w:font w:name="Arial">
    <w:charset w:val="ee"/>
    <w:family w:val="roman"/>
    <w:pitch w:val="variable"/>
  </w:font>
  <w:font w:name="Times New Roman CE">
    <w:charset w:val="01"/>
    <w:family w:val="roman"/>
    <w:pitch w:val="default"/>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right"/>
      <w:rPr/>
    </w:pPr>
    <w:r>
      <w:rPr/>
      <w:fldChar w:fldCharType="begin"/>
    </w:r>
    <w:r>
      <w:instrText> PAGE </w:instrText>
    </w:r>
    <w:r>
      <w:fldChar w:fldCharType="separate"/>
    </w:r>
    <w:r>
      <w:t>4</w:t>
    </w:r>
    <w: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360" w:hanging="360"/>
      </w:pPr>
      <w:rPr>
        <w:rFonts w:ascii="Times New Roman CE" w:hAnsi="Times New Roman CE" w:cs="Times New Roman CE"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SimSun" w:cs="Mangal"/>
        <w:sz w:val="24"/>
        <w:szCs w:val="24"/>
        <w:lang w:val="ro-RO" w:eastAsia="zh-CN" w:bidi="hi-IN"/>
      </w:rPr>
    </w:rPrDefault>
    <w:pPrDefault>
      <w:pPr>
        <w:textAlignment w:val="baseline"/>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uiPriority="0"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customStyle="1">
    <w:name w:val="Normal"/>
    <w:pPr>
      <w:widowControl/>
      <w:suppressAutoHyphens w:val="true"/>
      <w:bidi w:val="0"/>
      <w:jc w:val="left"/>
      <w:textAlignment w:val="baseline"/>
    </w:pPr>
    <w:rPr>
      <w:rFonts w:ascii="Times New Roman" w:hAnsi="Times New Roman" w:eastAsia="MS Mincho" w:cs="Times New Roman"/>
      <w:color w:val="auto"/>
      <w:sz w:val="24"/>
      <w:szCs w:val="24"/>
      <w:lang w:val="en-US" w:eastAsia="ja-JP" w:bidi="ar-SA"/>
    </w:rPr>
  </w:style>
  <w:style w:type="paragraph" w:styleId="Heading1">
    <w:name w:val="Heading 1"/>
    <w:basedOn w:val="Heading"/>
    <w:pPr>
      <w:outlineLvl w:val="0"/>
    </w:pPr>
    <w:rPr>
      <w:b/>
      <w:bCs/>
      <w:sz w:val="36"/>
      <w:szCs w:val="36"/>
    </w:rPr>
  </w:style>
  <w:style w:type="character" w:styleId="DefaultParagraphFont" w:default="1">
    <w:name w:val="Default Paragraph Font"/>
    <w:uiPriority w:val="1"/>
    <w:semiHidden/>
    <w:unhideWhenUsed/>
    <w:rPr/>
  </w:style>
  <w:style w:type="character" w:styleId="WW8Num1z0" w:customStyle="1">
    <w:name w:val="WW8Num1z0"/>
    <w:rPr/>
  </w:style>
  <w:style w:type="character" w:styleId="WW8Num1z1" w:customStyle="1">
    <w:name w:val="WW8Num1z1"/>
    <w:rPr/>
  </w:style>
  <w:style w:type="character" w:styleId="WW8Num1z2" w:customStyle="1">
    <w:name w:val="WW8Num1z2"/>
    <w:rPr/>
  </w:style>
  <w:style w:type="character" w:styleId="WW8Num1z3" w:customStyle="1">
    <w:name w:val="WW8Num1z3"/>
    <w:rPr/>
  </w:style>
  <w:style w:type="character" w:styleId="WW8Num1z4" w:customStyle="1">
    <w:name w:val="WW8Num1z4"/>
    <w:rPr/>
  </w:style>
  <w:style w:type="character" w:styleId="WW8Num1z5" w:customStyle="1">
    <w:name w:val="WW8Num1z5"/>
    <w:rPr/>
  </w:style>
  <w:style w:type="character" w:styleId="WW8Num1z6" w:customStyle="1">
    <w:name w:val="WW8Num1z6"/>
    <w:rPr/>
  </w:style>
  <w:style w:type="character" w:styleId="WW8Num1z7" w:customStyle="1">
    <w:name w:val="WW8Num1z7"/>
    <w:rPr/>
  </w:style>
  <w:style w:type="character" w:styleId="WW8Num1z8" w:customStyle="1">
    <w:name w:val="WW8Num1z8"/>
    <w:rPr/>
  </w:style>
  <w:style w:type="character" w:styleId="WW8Num2z0" w:customStyle="1">
    <w:name w:val="WW8Num2z0"/>
    <w:rPr/>
  </w:style>
  <w:style w:type="character" w:styleId="WW8Num2z1" w:customStyle="1">
    <w:name w:val="WW8Num2z1"/>
    <w:rPr/>
  </w:style>
  <w:style w:type="character" w:styleId="WW8Num2z2" w:customStyle="1">
    <w:name w:val="WW8Num2z2"/>
    <w:rPr/>
  </w:style>
  <w:style w:type="character" w:styleId="WW8Num2z3" w:customStyle="1">
    <w:name w:val="WW8Num2z3"/>
    <w:rPr/>
  </w:style>
  <w:style w:type="character" w:styleId="WW8Num2z4" w:customStyle="1">
    <w:name w:val="WW8Num2z4"/>
    <w:rPr/>
  </w:style>
  <w:style w:type="character" w:styleId="WW8Num2z5" w:customStyle="1">
    <w:name w:val="WW8Num2z5"/>
    <w:rPr/>
  </w:style>
  <w:style w:type="character" w:styleId="WW8Num2z6" w:customStyle="1">
    <w:name w:val="WW8Num2z6"/>
    <w:rPr/>
  </w:style>
  <w:style w:type="character" w:styleId="WW8Num2z7" w:customStyle="1">
    <w:name w:val="WW8Num2z7"/>
    <w:rPr/>
  </w:style>
  <w:style w:type="character" w:styleId="WW8Num2z8" w:customStyle="1">
    <w:name w:val="WW8Num2z8"/>
    <w:rPr/>
  </w:style>
  <w:style w:type="character" w:styleId="WW8Num3z0" w:customStyle="1">
    <w:name w:val="WW8Num3z0"/>
    <w:rPr>
      <w:rFonts w:ascii="Symbol" w:hAnsi="Symbol" w:eastAsia="Symbol" w:cs="OpenSymbol, 'Arial Unicode MS'"/>
    </w:rPr>
  </w:style>
  <w:style w:type="character" w:styleId="WW8Num3z1" w:customStyle="1">
    <w:name w:val="WW8Num3z1"/>
    <w:rPr>
      <w:rFonts w:ascii="OpenSymbol, 'Arial Unicode MS'" w:hAnsi="OpenSymbol, 'Arial Unicode MS'" w:eastAsia="OpenSymbol, 'Arial Unicode MS'" w:cs="OpenSymbol, 'Arial Unicode MS'"/>
    </w:rPr>
  </w:style>
  <w:style w:type="character" w:styleId="WWDefaultParagraphFont" w:customStyle="1">
    <w:name w:val="WW-Default Paragraph Font"/>
    <w:rPr/>
  </w:style>
  <w:style w:type="character" w:styleId="WW8Num4z0" w:customStyle="1">
    <w:name w:val="WW8Num4z0"/>
    <w:rPr>
      <w:rFonts w:ascii="Times New Roman" w:hAnsi="Times New Roman" w:eastAsia="SimSun, 宋体" w:cs="Times New Roman"/>
      <w:b/>
      <w:i w:val="false"/>
      <w:iCs/>
      <w:color w:val="000000"/>
      <w:sz w:val="24"/>
      <w:szCs w:val="24"/>
      <w:lang w:val="ro-RO"/>
    </w:rPr>
  </w:style>
  <w:style w:type="character" w:styleId="WW8Num5z0" w:customStyle="1">
    <w:name w:val="WW8Num5z0"/>
    <w:rPr>
      <w:rFonts w:eastAsia="MS Mincho"/>
      <w:b/>
      <w:color w:val="000000"/>
    </w:rPr>
  </w:style>
  <w:style w:type="character" w:styleId="WW8Num5z1" w:customStyle="1">
    <w:name w:val="WW8Num5z1"/>
    <w:rPr/>
  </w:style>
  <w:style w:type="character" w:styleId="WW8Num5z2" w:customStyle="1">
    <w:name w:val="WW8Num5z2"/>
    <w:rPr/>
  </w:style>
  <w:style w:type="character" w:styleId="WW8Num5z3" w:customStyle="1">
    <w:name w:val="WW8Num5z3"/>
    <w:rPr/>
  </w:style>
  <w:style w:type="character" w:styleId="WW8Num5z4" w:customStyle="1">
    <w:name w:val="WW8Num5z4"/>
    <w:rPr/>
  </w:style>
  <w:style w:type="character" w:styleId="WW8Num5z5" w:customStyle="1">
    <w:name w:val="WW8Num5z5"/>
    <w:rPr/>
  </w:style>
  <w:style w:type="character" w:styleId="WW8Num5z6" w:customStyle="1">
    <w:name w:val="WW8Num5z6"/>
    <w:rPr/>
  </w:style>
  <w:style w:type="character" w:styleId="WW8Num5z7" w:customStyle="1">
    <w:name w:val="WW8Num5z7"/>
    <w:rPr/>
  </w:style>
  <w:style w:type="character" w:styleId="WW8Num5z8" w:customStyle="1">
    <w:name w:val="WW8Num5z8"/>
    <w:rPr/>
  </w:style>
  <w:style w:type="character" w:styleId="WWDefaultParagraphFont1" w:customStyle="1">
    <w:name w:val="WW-Default Paragraph Font1"/>
    <w:rPr/>
  </w:style>
  <w:style w:type="character" w:styleId="WWDefaultParagraphFont11" w:customStyle="1">
    <w:name w:val="WW-Default Paragraph Font11"/>
    <w:rPr/>
  </w:style>
  <w:style w:type="character" w:styleId="FooterChar" w:customStyle="1">
    <w:name w:val="Footer Char"/>
    <w:basedOn w:val="WWDefaultParagraphFont11"/>
    <w:rPr>
      <w:rFonts w:eastAsia="MS Mincho"/>
      <w:sz w:val="24"/>
      <w:szCs w:val="24"/>
      <w:lang w:val="en-US" w:eastAsia="ja-JP" w:bidi="ar-SA"/>
    </w:rPr>
  </w:style>
  <w:style w:type="character" w:styleId="BodyTextChar" w:customStyle="1">
    <w:name w:val="Body Text Char"/>
    <w:basedOn w:val="WWDefaultParagraphFont1"/>
    <w:rPr>
      <w:rFonts w:eastAsia="MS Mincho"/>
      <w:sz w:val="24"/>
      <w:szCs w:val="24"/>
      <w:lang w:eastAsia="ja-JP"/>
    </w:rPr>
  </w:style>
  <w:style w:type="character" w:styleId="NumberingSymbols" w:customStyle="1">
    <w:name w:val="Numbering Symbols"/>
    <w:rPr/>
  </w:style>
  <w:style w:type="character" w:styleId="Bullets" w:customStyle="1">
    <w:name w:val="Bullets"/>
    <w:rPr>
      <w:rFonts w:ascii="OpenSymbol, 'Arial Unicode MS'" w:hAnsi="OpenSymbol, 'Arial Unicode MS'" w:eastAsia="OpenSymbol, 'Arial Unicode MS'" w:cs="OpenSymbol, 'Arial Unicode MS'"/>
    </w:rPr>
  </w:style>
  <w:style w:type="character" w:styleId="BalloonTextChar" w:customStyle="1">
    <w:name w:val="Balloon Text Char"/>
    <w:basedOn w:val="WWDefaultParagraphFont"/>
    <w:rPr>
      <w:rFonts w:ascii="Tahoma" w:hAnsi="Tahoma" w:eastAsia="MS Mincho" w:cs="Tahoma"/>
      <w:sz w:val="16"/>
      <w:szCs w:val="16"/>
      <w:lang w:eastAsia="ja-JP"/>
    </w:rPr>
  </w:style>
  <w:style w:type="character" w:styleId="CommentReference1" w:customStyle="1">
    <w:name w:val="Comment Reference1"/>
    <w:basedOn w:val="DefaultParagraphFont"/>
    <w:rPr>
      <w:sz w:val="16"/>
      <w:szCs w:val="16"/>
    </w:rPr>
  </w:style>
  <w:style w:type="character" w:styleId="BodyTextIndentChar" w:customStyle="1">
    <w:name w:val="Body Text Indent Char"/>
    <w:link w:val="BodyTextIndent"/>
    <w:rsid w:val="00d52f93"/>
    <w:basedOn w:val="DefaultParagraphFont"/>
    <w:rPr>
      <w:rFonts w:ascii="Times New Roman" w:hAnsi="Times New Roman" w:eastAsia="Times New Roman" w:cs="Times New Roman"/>
      <w:szCs w:val="20"/>
      <w:lang w:val="en-US" w:eastAsia="en-US" w:bidi="ar-SA"/>
    </w:rPr>
  </w:style>
  <w:style w:type="character" w:styleId="ListLabel1">
    <w:name w:val="ListLabel 1"/>
    <w:rPr>
      <w:rFonts w:eastAsia="MS Mincho" w:cs="Times New Roman CE"/>
    </w:rPr>
  </w:style>
  <w:style w:type="character" w:styleId="ListLabel2">
    <w:name w:val="ListLabel 2"/>
    <w:rPr>
      <w:rFonts w:cs="Courier New"/>
    </w:rPr>
  </w:style>
  <w:style w:type="paragraph" w:styleId="Heading" w:customStyle="1">
    <w:name w:val="Heading"/>
    <w:basedOn w:val="Normal"/>
    <w:next w:val="TextBody"/>
    <w:pPr>
      <w:keepNext/>
      <w:spacing w:before="240" w:after="120"/>
    </w:pPr>
    <w:rPr>
      <w:rFonts w:ascii="Liberation Sans" w:hAnsi="Liberation Sans" w:eastAsia="Microsoft YaHei" w:cs="Mangal"/>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customStyle="1">
    <w:name w:val="Index"/>
    <w:basedOn w:val="Normal"/>
    <w:pPr>
      <w:suppressLineNumbers/>
    </w:pPr>
    <w:rPr>
      <w:rFonts w:cs="Mangal"/>
    </w:rPr>
  </w:style>
  <w:style w:type="paragraph" w:styleId="Caption1">
    <w:name w:val="caption"/>
    <w:basedOn w:val="Normal"/>
    <w:pPr>
      <w:suppressLineNumbers/>
      <w:spacing w:before="120" w:after="120"/>
    </w:pPr>
    <w:rPr>
      <w:rFonts w:cs="Mangal"/>
      <w:i/>
      <w:iCs/>
    </w:rPr>
  </w:style>
  <w:style w:type="paragraph" w:styleId="Stiltitlu" w:customStyle="1">
    <w:name w:val="Stil titlu"/>
    <w:basedOn w:val="Normal"/>
    <w:pPr>
      <w:keepNext/>
      <w:spacing w:before="240" w:after="120"/>
    </w:pPr>
    <w:rPr>
      <w:rFonts w:ascii="Liberation Sans" w:hAnsi="Liberation Sans" w:eastAsia="Microsoft YaHei" w:cs="Mangal"/>
      <w:sz w:val="28"/>
      <w:szCs w:val="28"/>
    </w:rPr>
  </w:style>
  <w:style w:type="paragraph" w:styleId="Footer">
    <w:name w:val="Footer"/>
    <w:basedOn w:val="Normal"/>
    <w:pPr>
      <w:tabs>
        <w:tab w:val="center" w:pos="4703" w:leader="none"/>
        <w:tab w:val="right" w:pos="9406" w:leader="none"/>
      </w:tabs>
    </w:pPr>
    <w:rPr/>
  </w:style>
  <w:style w:type="paragraph" w:styleId="NoSpacing">
    <w:name w:val="No Spacing"/>
    <w:pPr>
      <w:widowControl/>
      <w:suppressAutoHyphens w:val="true"/>
      <w:bidi w:val="0"/>
      <w:jc w:val="left"/>
      <w:textAlignment w:val="baseline"/>
    </w:pPr>
    <w:rPr>
      <w:rFonts w:ascii="Calibri" w:hAnsi="Calibri" w:eastAsia="Times New Roman" w:cs="Calibri"/>
      <w:color w:val="auto"/>
      <w:sz w:val="22"/>
      <w:szCs w:val="22"/>
      <w:lang w:val="en-US" w:bidi="ar-SA" w:eastAsia="zh-CN"/>
    </w:rPr>
  </w:style>
  <w:style w:type="paragraph" w:styleId="CaracterCaracter1CharCharCaracterCaracterCharCharCharChar" w:customStyle="1">
    <w:name w:val="Caracter Caracter1 Char Char Caracter Caracter Char Char Char Char"/>
    <w:basedOn w:val="Normal"/>
    <w:pPr>
      <w:spacing w:lineRule="exact" w:line="240" w:before="0" w:after="160"/>
    </w:pPr>
    <w:rPr>
      <w:rFonts w:ascii="Tahoma" w:hAnsi="Tahoma" w:eastAsia="Times New Roman" w:cs="Tahoma"/>
      <w:sz w:val="20"/>
      <w:szCs w:val="20"/>
      <w:lang w:val="ro-RO"/>
    </w:rPr>
  </w:style>
  <w:style w:type="paragraph" w:styleId="DefaultText1" w:customStyle="1">
    <w:name w:val="Default Text:1"/>
    <w:basedOn w:val="Normal"/>
    <w:pPr/>
    <w:rPr>
      <w:rFonts w:eastAsia="Times New Roman"/>
      <w:szCs w:val="20"/>
      <w:lang w:eastAsia="zh-CN"/>
    </w:rPr>
  </w:style>
  <w:style w:type="paragraph" w:styleId="CaracterCaracter" w:customStyle="1">
    <w:name w:val="Caracter Caracter"/>
    <w:basedOn w:val="Normal"/>
    <w:pPr/>
    <w:rPr>
      <w:rFonts w:eastAsia="Times New Roman"/>
      <w:lang w:val="pl-PL" w:eastAsia="zh-CN"/>
    </w:rPr>
  </w:style>
  <w:style w:type="paragraph" w:styleId="CharCharCharChar" w:customStyle="1">
    <w:name w:val="Char Char Char Char"/>
    <w:basedOn w:val="Normal"/>
    <w:pPr>
      <w:suppressAutoHyphens w:val="false"/>
    </w:pPr>
    <w:rPr>
      <w:rFonts w:eastAsia="Times New Roman"/>
      <w:lang w:val="pl-PL"/>
    </w:rPr>
  </w:style>
  <w:style w:type="paragraph" w:styleId="BalloonText">
    <w:name w:val="Balloon Text"/>
    <w:basedOn w:val="Normal"/>
    <w:pPr/>
    <w:rPr>
      <w:rFonts w:ascii="Tahoma" w:hAnsi="Tahoma" w:eastAsia="Tahoma" w:cs="Tahoma"/>
      <w:sz w:val="16"/>
      <w:szCs w:val="16"/>
    </w:rPr>
  </w:style>
  <w:style w:type="paragraph" w:styleId="ListParagraph">
    <w:name w:val="List Paragraph"/>
    <w:basedOn w:val="Normal"/>
    <w:pPr>
      <w:ind w:left="720" w:right="0" w:hanging="0"/>
    </w:pPr>
    <w:rPr/>
  </w:style>
  <w:style w:type="paragraph" w:styleId="TextBodyIndent">
    <w:name w:val="Text Body Indent"/>
    <w:link w:val="BodyTextIndentChar"/>
    <w:rsid w:val="00d52f93"/>
    <w:basedOn w:val="Normal"/>
    <w:pPr>
      <w:widowControl/>
      <w:suppressAutoHyphens w:val="false"/>
      <w:ind w:left="0" w:right="0" w:firstLine="720"/>
      <w:textAlignment w:val="auto"/>
    </w:pPr>
    <w:rPr>
      <w:rFonts w:ascii="Times New Roman" w:hAnsi="Times New Roman" w:eastAsia="Times New Roman" w:cs="Times New Roman"/>
      <w:szCs w:val="20"/>
      <w:lang w:val="en-US" w:eastAsia="en-US" w:bidi="ar-SA"/>
    </w:rPr>
  </w:style>
  <w:style w:type="paragraph" w:styleId="DefaultText" w:customStyle="1">
    <w:name w:val="Default Text"/>
    <w:qFormat/>
    <w:rsid w:val="00d52f93"/>
    <w:basedOn w:val="Normal"/>
    <w:pPr>
      <w:widowControl/>
      <w:textAlignment w:val="auto"/>
    </w:pPr>
    <w:rPr>
      <w:rFonts w:ascii="Calibri" w:hAnsi="Calibri" w:eastAsia="Times New Roman" w:cs="Times New Roman"/>
      <w:color w:val="00000A"/>
      <w:lang w:bidi="ar-SA"/>
    </w:rPr>
  </w:style>
  <w:style w:type="numbering" w:styleId="NoList" w:default="1">
    <w:name w:val="No List"/>
    <w:uiPriority w:val="99"/>
    <w:semiHidden/>
    <w:unhideWhenUsed/>
  </w:style>
  <w:style w:type="numbering" w:styleId="WW8Num1" w:customStyle="1">
    <w:name w:val="WW8Num1"/>
  </w:style>
  <w:style w:type="numbering" w:styleId="WW8Num2" w:customStyle="1">
    <w:name w:val="WW8Num2"/>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81E06-4CB5-4CB8-9042-02FC4D0D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2018-05-18T16:03:00Z</dcterms:created>
  <dc:creator>82740376</dc:creator>
  <dc:language>ro-RO</dc:language>
  <cp:lastModifiedBy>MIHAELA-GABI ENE</cp:lastModifiedBy>
  <cp:lastPrinted>2018-05-04T06:44:00Z</cp:lastPrinted>
  <dcterms:modified xsi:type="dcterms:W3CDTF">2018-05-18T16:03:00Z</dcterms:modified>
  <cp:revision>2</cp:revision>
  <dc:title>Ordonanţa de urgenţă a Guvernului pentru modificarea şi completarea</dc:title>
</cp:coreProperties>
</file>